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3958" w14:textId="77777777" w:rsidR="004F667D" w:rsidRDefault="00000000" w:rsidP="001A5A4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1A5A45">
        <w:rPr>
          <w:rFonts w:ascii="Times New Roman" w:hAnsi="Times New Roman" w:cs="Times New Roman"/>
          <w:color w:val="auto"/>
        </w:rPr>
        <w:t>References</w:t>
      </w:r>
    </w:p>
    <w:p w14:paraId="52BE671C" w14:textId="77777777" w:rsidR="001A5A45" w:rsidRPr="001A5A45" w:rsidRDefault="001A5A45" w:rsidP="001A5A45"/>
    <w:p w14:paraId="7E80D429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Adams, C. M., &amp; Chandler, K. L. (2021). Differentiation in the gifted classroom: The role of curriculum compacting. Gifted Child Quarterly, 65(1), 55–68. https://doi.org/10.1177/0016986220965861</w:t>
      </w:r>
    </w:p>
    <w:p w14:paraId="2F581804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Borgman, C. L. (2015). Big data, little data, no data: Scholarship in the networked world. MIT Press.</w:t>
      </w:r>
    </w:p>
    <w:p w14:paraId="619E1350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Brookhart, S. M., Chen, F., Harris, K., Jang, E. E., McMillan, J., &amp; Ory, J. C. (2023). Effects of rubrics on academic performance, self-regulated learning, and self-efficacy: A meta-analysis. Educational Psychology Review, 35(4), 78–106. https://doi.org/10.1007/s10648-022-09694-1</w:t>
      </w:r>
    </w:p>
    <w:p w14:paraId="0857D74E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Burgstahler, S. (2015). Universal design in higher education: From principles to practice (2nd ed.). Harvard Education Press.</w:t>
      </w:r>
    </w:p>
    <w:p w14:paraId="2CEB8CC0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Ford, D. Y. (2018). Culturally responsive identification and services in gifted education: Implications for equity. Gifted Child Quarterly, 62(3), 289–293. https://doi.org/10.1177/0016986218769344</w:t>
      </w:r>
    </w:p>
    <w:p w14:paraId="63836B2E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Gagné, F. (2009). Building gifts into talents: Overview of the DMGT 2.0. In B. MacFarlane &amp; T. Stambaugh (Eds.), Leading change in gifted education (pp. 61–80). Prufrock Press.</w:t>
      </w:r>
    </w:p>
    <w:p w14:paraId="43B39DDA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Knowles, M. S., Holton, E. F., III, &amp; Swanson, R. A. (2015). The adult learner: The definitive classic in adult education and human resource development (8th ed.). Routledge.</w:t>
      </w:r>
    </w:p>
    <w:p w14:paraId="5CBB7B60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lastRenderedPageBreak/>
        <w:t>Li, H., Xiong, Y., Hunter, C. V., Guo, X., &amp; Tywoniw, R. (2019). The impact of peer assessment on academic performance: A meta-analysis. Educational Psychology Review, 31(4), 1–24. https://doi.org/10.1007/s10648-019-09475-6</w:t>
      </w:r>
    </w:p>
    <w:p w14:paraId="1F790125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López-Pastor, V. M., González-Palomares, A., &amp; Barba-Martín, R. A. (2021). Analytic or holistic? Increasing agreement in performance assessment. Assessment in Education: Principles, Policy &amp; Practice, 28(6), 674–695. https://doi.org/10.1080/0969594X.2021.1884049</w:t>
      </w:r>
    </w:p>
    <w:p w14:paraId="002DB82B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Moon, S. M. (2019). Involving parents in gifted education. Journal for the Education of the Gifted, 42(1), 3–23. https://doi.org/10.1177/0162353218821338</w:t>
      </w:r>
    </w:p>
    <w:p w14:paraId="74FF0749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Panadero, E., &amp; Alqassab, M. (2021). The effect of self-assessment on academic performance and the role of feedback: A meta-analysis. Assessment &amp; Evaluation in Higher Education, 46(5), 706–726. https://doi.org/10.1080/02602938.2020.1822379</w:t>
      </w:r>
    </w:p>
    <w:p w14:paraId="76C7682A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Pardo, A., &amp; Siemens, G. (2014). Ethical and privacy principles for learning analytics. British Journal of Educational Technology, 45(3), 438–450. https://doi.org/10.1111/bjet.12152</w:t>
      </w:r>
    </w:p>
    <w:p w14:paraId="5AF40A05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Pfeiffer, S. I. (2017). Success in the classroom and in life: Focusing on strengths of gifted learners. Gifted Education International, 33(2), 95–104. https://doi.org/10.1177/0261429415596199</w:t>
      </w:r>
    </w:p>
    <w:p w14:paraId="5F3137E8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Pfeiffer, S. I. (2023). A strengths-based approach to identifying and serving gifted students. Journal for the Education of the Gifted, 46(1), 3–21. https://doi.org/10.1177/01623532221136119</w:t>
      </w:r>
    </w:p>
    <w:p w14:paraId="7E3AB42A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Reis, S. M., &amp; Renzulli, J. S. (2017). Curriculum compacting: A guide to differentiating curriculum and instruction through enrichment and acceleration (2nd ed.). Prufrock Press.</w:t>
      </w:r>
    </w:p>
    <w:p w14:paraId="2D1EBD40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lastRenderedPageBreak/>
        <w:t>Reis, S. M., &amp; Renzulli, J. S. (2020). The schoolwide enrichment model: A comprehensive plan for educational excellence (3rd ed.). Prufrock Press.</w:t>
      </w:r>
    </w:p>
    <w:p w14:paraId="0F4EFBD2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Reis, S. M., Westberg, K. L., &amp; Gubbins, E. J. (2018). Curriculum compacting and achievement among gifted students. Journal for the Education of the Gifted, 41(1), 27–45. https://doi.org/10.1177/0162353217745155</w:t>
      </w:r>
    </w:p>
    <w:p w14:paraId="641F6A46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Renzulli, J. S. (2021). Reflections on gifted education: Critical issues for the twenty-first century. Gifted Education International, 37(2), 91–109. https://doi.org/10.1177/0261429420983481</w:t>
      </w:r>
    </w:p>
    <w:p w14:paraId="243CE81B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Subotnik, R. F., Olszewski-Kubilius, P., &amp; Worrell, F. C. (2018). From traditional definitions of giftedness to contemporary interpretations. Roeper Review, 40(2), 122–132. https://doi.org/10.1080/02783193.2018.1410051</w:t>
      </w:r>
    </w:p>
    <w:p w14:paraId="4FA12422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Tomlinson, C. A. (2014). The differentiated classroom: Responding to the needs of all learners (2nd ed.). ASCD.</w:t>
      </w:r>
    </w:p>
    <w:p w14:paraId="73F3FB66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Worrell, F. C., Subotnik, R. F., Olszewski-Kubilius, P., &amp; Dixson, D. D. (2016). Gifted education and talent development in the 21st century: A research-based perspective. Journal of Psychoeducational Assessment, 34(2), 112–118. https://doi.org/10.1177/0734282915615901</w:t>
      </w:r>
    </w:p>
    <w:p w14:paraId="72006A18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Worrell, F. C., Subotnik, R. F., Olszewski-Kubilius, P., &amp; Dixson, D. D. (2019). Gifted education and talent development in the 21st century: A research-based perspective. Journal of Advanced Academics, 30(3), 163–191. https://doi.org/10.1177/1932202X19832734</w:t>
      </w:r>
    </w:p>
    <w:p w14:paraId="14F3063E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t>Wu, S., Zhang, J., &amp; Zhang, J. (2022). The effectiveness of formative assessment for enhancing reading achievement in K–12: A meta-analysis. Frontiers in Psychology, 13, 990196. https://doi.org/10.3389/fpsyg.2022.990196</w:t>
      </w:r>
    </w:p>
    <w:p w14:paraId="4A43452D" w14:textId="77777777" w:rsidR="004F667D" w:rsidRPr="001A5A45" w:rsidRDefault="00000000">
      <w:pPr>
        <w:spacing w:line="480" w:lineRule="auto"/>
        <w:ind w:left="567" w:hanging="567"/>
        <w:rPr>
          <w:rFonts w:ascii="Times New Roman" w:hAnsi="Times New Roman" w:cs="Times New Roman"/>
        </w:rPr>
      </w:pPr>
      <w:r w:rsidRPr="001A5A45">
        <w:rPr>
          <w:rFonts w:ascii="Times New Roman" w:hAnsi="Times New Roman" w:cs="Times New Roman"/>
        </w:rPr>
        <w:lastRenderedPageBreak/>
        <w:t>Yan, Z., Chiu, M. M., &amp; Ko, P. Y. (2022). Effects of self-assessment and peer-assessment interventions on academic performance: A meta-analysis. Educational Research Review, 36, 100468. https://doi.org/10.1016/j.edurev.2022.100468</w:t>
      </w:r>
    </w:p>
    <w:sectPr w:rsidR="004F667D" w:rsidRPr="001A5A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034558">
    <w:abstractNumId w:val="8"/>
  </w:num>
  <w:num w:numId="2" w16cid:durableId="1867330831">
    <w:abstractNumId w:val="6"/>
  </w:num>
  <w:num w:numId="3" w16cid:durableId="1819103696">
    <w:abstractNumId w:val="5"/>
  </w:num>
  <w:num w:numId="4" w16cid:durableId="431164387">
    <w:abstractNumId w:val="4"/>
  </w:num>
  <w:num w:numId="5" w16cid:durableId="1516572976">
    <w:abstractNumId w:val="7"/>
  </w:num>
  <w:num w:numId="6" w16cid:durableId="1122455223">
    <w:abstractNumId w:val="3"/>
  </w:num>
  <w:num w:numId="7" w16cid:durableId="595940182">
    <w:abstractNumId w:val="2"/>
  </w:num>
  <w:num w:numId="8" w16cid:durableId="62800323">
    <w:abstractNumId w:val="1"/>
  </w:num>
  <w:num w:numId="9" w16cid:durableId="35920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5A45"/>
    <w:rsid w:val="0029639D"/>
    <w:rsid w:val="00326F90"/>
    <w:rsid w:val="004F667D"/>
    <w:rsid w:val="00AA1D8D"/>
    <w:rsid w:val="00B47730"/>
    <w:rsid w:val="00CB0664"/>
    <w:rsid w:val="00FA74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9E6AD"/>
  <w14:defaultImageDpi w14:val="300"/>
  <w15:docId w15:val="{DBF3B71D-765A-4DE3-9696-3236DB8F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Cooper, Ashley</cp:lastModifiedBy>
  <cp:revision>2</cp:revision>
  <dcterms:created xsi:type="dcterms:W3CDTF">2025-08-25T02:13:00Z</dcterms:created>
  <dcterms:modified xsi:type="dcterms:W3CDTF">2025-08-25T02:13:00Z</dcterms:modified>
  <cp:category/>
</cp:coreProperties>
</file>